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25" w:lineRule="auto"/>
        <w:rPr/>
      </w:pPr>
      <w:r/>
    </w:p>
    <w:p>
      <w:pPr>
        <w:pStyle w:val="BodyText"/>
        <w:spacing w:line="326" w:lineRule="auto"/>
        <w:rPr/>
      </w:pPr>
      <w:r/>
    </w:p>
    <w:p>
      <w:pPr>
        <w:spacing w:before="377" w:line="219" w:lineRule="auto"/>
        <w:outlineLvl w:val="0"/>
        <w:jc w:val="right"/>
        <w:rPr>
          <w:rFonts w:ascii="SimSun" w:hAnsi="SimSun" w:eastAsia="SimSun" w:cs="SimSun"/>
          <w:sz w:val="116"/>
          <w:szCs w:val="116"/>
        </w:rPr>
      </w:pPr>
      <w:r>
        <w:rPr>
          <w:rFonts w:ascii="SimSun" w:hAnsi="SimSun" w:eastAsia="SimSun" w:cs="SimSun"/>
          <w:sz w:val="116"/>
          <w:szCs w:val="116"/>
          <w:b/>
          <w:bCs/>
          <w:color w:val="F71000"/>
          <w:spacing w:val="-54"/>
          <w:w w:val="49"/>
        </w:rPr>
        <w:t>中共湘</w:t>
      </w:r>
      <w:r>
        <w:rPr>
          <w:rFonts w:ascii="SimSun" w:hAnsi="SimSun" w:eastAsia="SimSun" w:cs="SimSun"/>
          <w:sz w:val="116"/>
          <w:szCs w:val="116"/>
          <w:b/>
          <w:bCs/>
          <w:color w:val="F71000"/>
          <w:spacing w:val="-53"/>
          <w:w w:val="49"/>
        </w:rPr>
        <w:t>潭市委人才工作领导小组文</w:t>
      </w:r>
      <w:r>
        <w:rPr>
          <w:rFonts w:ascii="SimSun" w:hAnsi="SimSun" w:eastAsia="SimSun" w:cs="SimSun"/>
          <w:sz w:val="116"/>
          <w:szCs w:val="116"/>
          <w:b/>
          <w:bCs/>
          <w:color w:val="F71000"/>
          <w:spacing w:val="-50"/>
          <w:w w:val="49"/>
        </w:rPr>
        <w:t>件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285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潭人才发〔2024〕3号</w:t>
      </w:r>
    </w:p>
    <w:p>
      <w:pPr>
        <w:ind w:firstLine="4220"/>
        <w:spacing w:before="146" w:line="400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95287</wp:posOffset>
            </wp:positionH>
            <wp:positionV relativeFrom="paragraph">
              <wp:posOffset>207371</wp:posOffset>
            </wp:positionV>
            <wp:extent cx="2501880" cy="1903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01880" cy="19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3009904</wp:posOffset>
            </wp:positionH>
            <wp:positionV relativeFrom="paragraph">
              <wp:posOffset>213681</wp:posOffset>
            </wp:positionV>
            <wp:extent cx="2482915" cy="1903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82915" cy="19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234931" cy="25396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4931" cy="25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446" w:right="245" w:hanging="200"/>
        <w:spacing w:before="143" w:line="295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关于印发《湘潭市市直公立医院高层次人才</w:t>
      </w:r>
      <w:r>
        <w:rPr>
          <w:rFonts w:ascii="SimSun" w:hAnsi="SimSun" w:eastAsia="SimSun" w:cs="SimSun"/>
          <w:sz w:val="44"/>
          <w:szCs w:val="44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18"/>
        </w:rPr>
        <w:t>“引育用留”若干措施(试行)》的通知</w:t>
      </w:r>
    </w:p>
    <w:p>
      <w:pPr>
        <w:pStyle w:val="BodyText"/>
        <w:spacing w:line="317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各市直单位、各市直公立医院：</w:t>
      </w:r>
    </w:p>
    <w:p>
      <w:pPr>
        <w:ind w:firstLine="575"/>
        <w:spacing w:before="210" w:line="36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《湘潭市市直公立医院高层次人才“引育用留”若干措施(试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行)》经市委常委会会议审议通过，现印发给你们，请结合实际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贯彻执行。</w:t>
      </w:r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ind w:left="3820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3048065</wp:posOffset>
            </wp:positionH>
            <wp:positionV relativeFrom="paragraph">
              <wp:posOffset>-498890</wp:posOffset>
            </wp:positionV>
            <wp:extent cx="1581122" cy="161288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1122" cy="161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3"/>
        </w:rPr>
        <w:t>中共湘潭市委人才工作领导小组</w:t>
      </w:r>
    </w:p>
    <w:p>
      <w:pPr>
        <w:ind w:left="4850"/>
        <w:spacing w:before="32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1"/>
        </w:rPr>
        <w:t>2024年7月3日</w:t>
      </w:r>
    </w:p>
    <w:p>
      <w:pPr>
        <w:spacing w:line="222" w:lineRule="auto"/>
        <w:sectPr>
          <w:pgSz w:w="11900" w:h="16840"/>
          <w:pgMar w:top="1431" w:right="1492" w:bottom="0" w:left="1619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62" w:lineRule="auto"/>
        <w:rPr/>
      </w:pPr>
      <w:r/>
    </w:p>
    <w:p>
      <w:pPr>
        <w:ind w:left="225"/>
        <w:spacing w:before="133" w:line="219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16"/>
        </w:rPr>
        <w:t>湘潭市市直公立医院高层次人才“引育用留”</w:t>
      </w:r>
    </w:p>
    <w:p>
      <w:pPr>
        <w:ind w:left="2736"/>
        <w:spacing w:before="74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8"/>
        </w:rPr>
        <w:t>若干措施(试行)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right="89" w:firstLine="689"/>
        <w:spacing w:before="101" w:line="36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为进一步加强市直公立医院高层次人才“引育用留”工作和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人才队伍建设，推进公立医院高质量发展，特制定如下措施：</w:t>
      </w:r>
    </w:p>
    <w:p>
      <w:pPr>
        <w:ind w:right="68" w:firstLine="694"/>
        <w:spacing w:before="3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3"/>
        </w:rPr>
        <w:t>第一条大力引进高层次人才</w:t>
      </w:r>
      <w:r>
        <w:rPr>
          <w:rFonts w:ascii="FangSong" w:hAnsi="FangSong" w:eastAsia="FangSong" w:cs="FangSong"/>
          <w:sz w:val="31"/>
          <w:szCs w:val="31"/>
          <w:b/>
          <w:bCs/>
          <w:spacing w:val="13"/>
        </w:rPr>
        <w:t>。</w:t>
      </w:r>
      <w:r>
        <w:rPr>
          <w:rFonts w:ascii="FangSong" w:hAnsi="FangSong" w:eastAsia="FangSong" w:cs="FangSong"/>
          <w:sz w:val="31"/>
          <w:szCs w:val="31"/>
          <w:spacing w:val="13"/>
        </w:rPr>
        <w:t>加大从市域外引进</w:t>
      </w:r>
      <w:r>
        <w:rPr>
          <w:rFonts w:ascii="FangSong" w:hAnsi="FangSong" w:eastAsia="FangSong" w:cs="FangSong"/>
          <w:sz w:val="31"/>
          <w:szCs w:val="31"/>
          <w:spacing w:val="12"/>
        </w:rPr>
        <w:t>高层次人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才力度，高层次人才是指学科领军人才和急需紧缺人才。其中：</w:t>
      </w:r>
    </w:p>
    <w:p>
      <w:pPr>
        <w:ind w:right="106" w:firstLine="689"/>
        <w:spacing w:before="23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学科领军人才基本条件为：取得博士学位且具有副高级及以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上专业技术职称。同时符合以下条件：学术造诣精深，业务能力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在本省本专业领域有一定的影响力；主持过省</w:t>
      </w:r>
      <w:r>
        <w:rPr>
          <w:rFonts w:ascii="FangSong" w:hAnsi="FangSong" w:eastAsia="FangSong" w:cs="FangSong"/>
          <w:sz w:val="31"/>
          <w:szCs w:val="31"/>
          <w:spacing w:val="14"/>
        </w:rPr>
        <w:t>级及以上科研课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题；一般应有三级医院工作经历；年龄一般在50周岁以下，取得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省级及以上人才称号者可视情况放宽年龄条件。</w:t>
      </w:r>
    </w:p>
    <w:p>
      <w:pPr>
        <w:ind w:firstLine="689"/>
        <w:spacing w:before="13" w:line="35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急需紧缺人才基本条件为：取得博士学位或</w:t>
      </w:r>
      <w:r>
        <w:rPr>
          <w:rFonts w:ascii="FangSong" w:hAnsi="FangSong" w:eastAsia="FangSong" w:cs="FangSong"/>
          <w:sz w:val="31"/>
          <w:szCs w:val="31"/>
          <w:spacing w:val="1"/>
        </w:rPr>
        <w:t>取得全日制硕士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研究生学历(学位)且具有副高级及以上专业技术职称。同时符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合以下条件：具有一定的学术造诣，参与过市级及以上科研课题；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年龄一般在45周岁以下。</w:t>
      </w:r>
    </w:p>
    <w:p>
      <w:pPr>
        <w:ind w:right="123" w:firstLine="654"/>
        <w:spacing w:before="23" w:line="294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927112</wp:posOffset>
            </wp:positionH>
            <wp:positionV relativeFrom="paragraph">
              <wp:posOffset>194117</wp:posOffset>
            </wp:positionV>
            <wp:extent cx="1562075" cy="1556537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075" cy="1556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1"/>
          <w:szCs w:val="31"/>
          <w:b/>
          <w:bCs/>
          <w:spacing w:val="13"/>
        </w:rPr>
        <w:t>第二条实施保底年薪制</w:t>
      </w:r>
      <w:r>
        <w:rPr>
          <w:rFonts w:ascii="FangSong" w:hAnsi="FangSong" w:eastAsia="FangSong" w:cs="FangSong"/>
          <w:sz w:val="31"/>
          <w:szCs w:val="31"/>
          <w:b/>
          <w:bCs/>
          <w:spacing w:val="13"/>
        </w:rPr>
        <w:t>。</w:t>
      </w:r>
      <w:r>
        <w:rPr>
          <w:rFonts w:ascii="FangSong" w:hAnsi="FangSong" w:eastAsia="FangSong" w:cs="FangSong"/>
          <w:sz w:val="31"/>
          <w:szCs w:val="31"/>
          <w:spacing w:val="13"/>
        </w:rPr>
        <w:t>对引进的高层次人才采取“一人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一策”、“一事一议”的方式确定保底年薪。</w:t>
      </w:r>
    </w:p>
    <w:p>
      <w:pPr>
        <w:ind w:right="122" w:firstLine="649"/>
        <w:spacing w:before="218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第三条实行安居保障</w:t>
      </w:r>
      <w:r>
        <w:rPr>
          <w:rFonts w:ascii="FangSong" w:hAnsi="FangSong" w:eastAsia="FangSong" w:cs="FangSong"/>
          <w:sz w:val="31"/>
          <w:szCs w:val="31"/>
          <w:spacing w:val="14"/>
        </w:rPr>
        <w:t>。对引进的学科领军人才和急需紧缺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人才分别给予80-90万元、50-70万元的安家补贴。最低服务年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限为5年。鼓励医院为引进的高层次人才免费提供不超过</w:t>
      </w:r>
      <w:r>
        <w:rPr>
          <w:rFonts w:ascii="FangSong" w:hAnsi="FangSong" w:eastAsia="FangSong" w:cs="FangSong"/>
          <w:sz w:val="31"/>
          <w:szCs w:val="31"/>
          <w:spacing w:val="13"/>
        </w:rPr>
        <w:t>3年的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周转用房。</w:t>
      </w:r>
    </w:p>
    <w:p>
      <w:pPr>
        <w:spacing w:line="317" w:lineRule="auto"/>
        <w:sectPr>
          <w:footerReference w:type="default" r:id="rId5"/>
          <w:pgSz w:w="11900" w:h="16840"/>
          <w:pgMar w:top="1431" w:right="1527" w:bottom="1492" w:left="1480" w:header="0" w:footer="121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83" w:lineRule="auto"/>
        <w:rPr/>
      </w:pPr>
      <w:r/>
    </w:p>
    <w:p>
      <w:pPr>
        <w:ind w:right="243" w:firstLine="649"/>
        <w:spacing w:before="101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第四条优化引进方式。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高层次人才可采取直接考核的方式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通过公开招聘、流动调配等渠道引进。对临床能力和学术</w:t>
      </w:r>
      <w:r>
        <w:rPr>
          <w:rFonts w:ascii="FangSong" w:hAnsi="FangSong" w:eastAsia="FangSong" w:cs="FangSong"/>
          <w:sz w:val="31"/>
          <w:szCs w:val="31"/>
          <w:spacing w:val="2"/>
        </w:rPr>
        <w:t>水平在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全国具有较大影响，获得有国家级人才项目工程称</w:t>
      </w:r>
      <w:r>
        <w:rPr>
          <w:rFonts w:ascii="FangSong" w:hAnsi="FangSong" w:eastAsia="FangSong" w:cs="FangSong"/>
          <w:sz w:val="31"/>
          <w:szCs w:val="31"/>
          <w:spacing w:val="2"/>
        </w:rPr>
        <w:t>号的高层次人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才，通过“一事一议”方式面议引进，可突破相关奖补标准。</w:t>
      </w:r>
    </w:p>
    <w:p>
      <w:pPr>
        <w:ind w:firstLine="649"/>
        <w:spacing w:before="240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第五条加大柔性引才力度。</w:t>
      </w:r>
      <w:r>
        <w:rPr>
          <w:rFonts w:ascii="FangSong" w:hAnsi="FangSong" w:eastAsia="FangSong" w:cs="FangSong"/>
          <w:sz w:val="31"/>
          <w:szCs w:val="31"/>
          <w:spacing w:val="8"/>
        </w:rPr>
        <w:t>通过设立特聘专家、技</w:t>
      </w:r>
      <w:r>
        <w:rPr>
          <w:rFonts w:ascii="FangSong" w:hAnsi="FangSong" w:eastAsia="FangSong" w:cs="FangSong"/>
          <w:sz w:val="31"/>
          <w:szCs w:val="31"/>
          <w:spacing w:val="7"/>
        </w:rPr>
        <w:t>术顾问、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技术合作等形式，采取“一事一议”方式柔性引进院士(团队)、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国家级知名专家等顶尖人才、高端人才入潭服务。柔性引才最低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3"/>
        </w:rPr>
        <w:t>服务年限不少于3年，按每年不低于30万元</w:t>
      </w:r>
      <w:r>
        <w:rPr>
          <w:rFonts w:ascii="FangSong" w:hAnsi="FangSong" w:eastAsia="FangSong" w:cs="FangSong"/>
          <w:sz w:val="31"/>
          <w:szCs w:val="31"/>
          <w:spacing w:val="12"/>
        </w:rPr>
        <w:t>给予人才资金补助。</w:t>
      </w:r>
    </w:p>
    <w:p>
      <w:pPr>
        <w:ind w:right="120" w:firstLine="649"/>
        <w:spacing w:before="238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第六条提供职业发展平台。</w:t>
      </w:r>
      <w:r>
        <w:rPr>
          <w:rFonts w:ascii="SimHei" w:hAnsi="SimHei" w:eastAsia="SimHei" w:cs="SimHei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对引进的学科领军人才，符合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条件的，可担任临床科室负责人职务。在办理专业技术岗位聘用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手续时，可特设岗位，首次聘用不受专业技术</w:t>
      </w:r>
      <w:r>
        <w:rPr>
          <w:rFonts w:ascii="FangSong" w:hAnsi="FangSong" w:eastAsia="FangSong" w:cs="FangSong"/>
          <w:sz w:val="31"/>
          <w:szCs w:val="31"/>
          <w:spacing w:val="-4"/>
        </w:rPr>
        <w:t>岗位结构比例限制。</w:t>
      </w:r>
    </w:p>
    <w:p>
      <w:pPr>
        <w:ind w:right="222" w:firstLine="649"/>
        <w:spacing w:before="247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第七条保障配偶就业。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对引进的高层次人才配偶坚持双向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选择为主、统筹调配为辅的原则安排就业。属机关事业单位在编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人员的，根据个人情况和接收单位意向，由市卫健委牵头汇总有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关情况，市委人才办、市委组织部、市委编办、市人社局等部门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协调解决流动调配问题。属其他单位的，由引进人才所在医院协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调解决就业问题。</w:t>
      </w:r>
    </w:p>
    <w:p>
      <w:pPr>
        <w:ind w:right="232" w:firstLine="654"/>
        <w:spacing w:before="243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第八条提供父母养老服务。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对引进的高层次人</w:t>
      </w:r>
      <w:r>
        <w:rPr>
          <w:rFonts w:ascii="FangSong" w:hAnsi="FangSong" w:eastAsia="FangSong" w:cs="FangSong"/>
          <w:sz w:val="31"/>
          <w:szCs w:val="31"/>
          <w:spacing w:val="6"/>
        </w:rPr>
        <w:t>才和A、B、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C、D</w:t>
      </w:r>
      <w:r>
        <w:rPr>
          <w:rFonts w:ascii="SimSun" w:hAnsi="SimSun" w:eastAsia="SimSun" w:cs="SimSun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类人才父母从市域外来潭养老，每年发放5000元来潭居家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养老消费券。实施时间两年。</w:t>
      </w:r>
    </w:p>
    <w:p>
      <w:pPr>
        <w:ind w:right="117" w:firstLine="654"/>
        <w:spacing w:before="206" w:line="2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第九条保障子女入学。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A、B </w:t>
      </w:r>
      <w:r>
        <w:rPr>
          <w:rFonts w:ascii="FangSong" w:hAnsi="FangSong" w:eastAsia="FangSong" w:cs="FangSong"/>
          <w:sz w:val="31"/>
          <w:szCs w:val="31"/>
          <w:spacing w:val="7"/>
        </w:rPr>
        <w:t>类人才</w:t>
      </w:r>
      <w:r>
        <w:rPr>
          <w:rFonts w:ascii="FangSong" w:hAnsi="FangSong" w:eastAsia="FangSong" w:cs="FangSong"/>
          <w:sz w:val="31"/>
          <w:szCs w:val="31"/>
          <w:spacing w:val="6"/>
        </w:rPr>
        <w:t>直系亲属就读幼儿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园、义务教育阶段学校和普通高中学校，根据人才</w:t>
      </w:r>
      <w:r>
        <w:rPr>
          <w:rFonts w:ascii="FangSong" w:hAnsi="FangSong" w:eastAsia="FangSong" w:cs="FangSong"/>
          <w:sz w:val="31"/>
          <w:szCs w:val="31"/>
          <w:spacing w:val="-4"/>
        </w:rPr>
        <w:t>意愿优先安排。</w:t>
      </w:r>
    </w:p>
    <w:p>
      <w:pPr>
        <w:spacing w:line="293" w:lineRule="auto"/>
        <w:sectPr>
          <w:footerReference w:type="default" r:id="rId7"/>
          <w:pgSz w:w="11900" w:h="16840"/>
          <w:pgMar w:top="1431" w:right="1314" w:bottom="1486" w:left="1569" w:header="0" w:footer="120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55" w:lineRule="auto"/>
        <w:rPr/>
      </w:pPr>
      <w:r/>
    </w:p>
    <w:p>
      <w:pPr>
        <w:ind w:right="67"/>
        <w:spacing w:before="101" w:line="36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对引进的学科领军人才和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C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类人才子女就读幼儿园、义务教育阶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段学校，根据人才意愿优先安排。</w:t>
      </w:r>
      <w:r>
        <w:rPr>
          <w:rFonts w:ascii="SimSun" w:hAnsi="SimSun" w:eastAsia="SimSun" w:cs="SimSun"/>
          <w:sz w:val="31"/>
          <w:szCs w:val="31"/>
          <w:spacing w:val="4"/>
        </w:rPr>
        <w:t>D</w:t>
      </w:r>
      <w:r>
        <w:rPr>
          <w:rFonts w:ascii="SimSun" w:hAnsi="SimSun" w:eastAsia="SimSun" w:cs="SimSun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类人才子女就读幼儿园、义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务教育阶段学校，根据人才意愿和实际情况，由户口或居住所在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地教育行政部门就近统筹安排。</w:t>
      </w:r>
    </w:p>
    <w:p>
      <w:pPr>
        <w:ind w:right="23" w:firstLine="654"/>
        <w:spacing w:before="9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第十条鼓励科研创新。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鼓励开展科研创新，及时解决科研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所需的实验设备及办公设施。对申报国、省级科研项目并按期结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题的，分别给予10万元、5万元科研项目奖励。获得科研项目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奖励后最低服务年限为5年。</w:t>
      </w:r>
    </w:p>
    <w:p>
      <w:pPr>
        <w:ind w:right="29" w:firstLine="654"/>
        <w:spacing w:before="233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第十一条支持申报人才工程项目。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对通过人才工程申报，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入选国家级人才工程项目的，给予10万元</w:t>
      </w:r>
      <w:r>
        <w:rPr>
          <w:rFonts w:ascii="FangSong" w:hAnsi="FangSong" w:eastAsia="FangSong" w:cs="FangSong"/>
          <w:sz w:val="31"/>
          <w:szCs w:val="31"/>
          <w:spacing w:val="13"/>
        </w:rPr>
        <w:t>奖励；入选省级人才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工程项目的，给予5万元奖励。获得人才工程项目奖励后最低服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务年限为5年。</w:t>
      </w:r>
    </w:p>
    <w:p>
      <w:pPr>
        <w:ind w:firstLine="654"/>
        <w:spacing w:before="243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第十二条鼓励学历提升。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对工作期满出站并取得博士后证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书的，给予10万元奖励；对在职攻读并取得国家认可的博士学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位的，给予5万元奖励。获得学历提升奖励</w:t>
      </w:r>
      <w:r>
        <w:rPr>
          <w:rFonts w:ascii="FangSong" w:hAnsi="FangSong" w:eastAsia="FangSong" w:cs="FangSong"/>
          <w:sz w:val="31"/>
          <w:szCs w:val="31"/>
          <w:spacing w:val="15"/>
        </w:rPr>
        <w:t>后最低服务年限为5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年。</w:t>
      </w:r>
    </w:p>
    <w:p>
      <w:pPr>
        <w:ind w:right="29" w:firstLine="654"/>
        <w:spacing w:before="245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第十三条实施医卫名家培育工程。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选拔医卫名家培育对象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50名，在培育期内实行动态管理。根据考核结果，每年分别给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予医卫高层次人才培育对象、医卫骨干人才培育对象培育经费5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万元/人、3万元/人。</w:t>
      </w:r>
    </w:p>
    <w:p>
      <w:pPr>
        <w:ind w:right="27" w:firstLine="654"/>
        <w:spacing w:before="231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第十四条大力推进人才进修培训。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根据人才专业方向以及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医院临床需求、人才梯队建设等情况，制定清晰、具体</w:t>
      </w:r>
      <w:r>
        <w:rPr>
          <w:rFonts w:ascii="FangSong" w:hAnsi="FangSong" w:eastAsia="FangSong" w:cs="FangSong"/>
          <w:sz w:val="31"/>
          <w:szCs w:val="31"/>
          <w:spacing w:val="2"/>
        </w:rPr>
        <w:t>的人才进</w:t>
      </w:r>
    </w:p>
    <w:p>
      <w:pPr>
        <w:spacing w:line="286" w:lineRule="auto"/>
        <w:sectPr>
          <w:footerReference w:type="default" r:id="rId8"/>
          <w:pgSz w:w="11900" w:h="16840"/>
          <w:pgMar w:top="1431" w:right="1589" w:bottom="1482" w:left="1499" w:header="0" w:footer="120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86" w:lineRule="auto"/>
        <w:rPr/>
      </w:pPr>
      <w:r/>
    </w:p>
    <w:p>
      <w:pPr>
        <w:ind w:right="283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修培训计划，切实加大赴国内外知名医疗机构、科研院所进修培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训力度，并给予培训经费支持。</w:t>
      </w:r>
    </w:p>
    <w:p>
      <w:pPr>
        <w:ind w:right="127" w:firstLine="629"/>
        <w:spacing w:before="3" w:line="3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第十五条着力建设重点学科(专科)</w:t>
      </w:r>
      <w:r>
        <w:rPr>
          <w:rFonts w:ascii="SimHei" w:hAnsi="SimHei" w:eastAsia="SimHei" w:cs="SimHei"/>
          <w:sz w:val="31"/>
          <w:szCs w:val="31"/>
          <w:spacing w:val="23"/>
        </w:rPr>
        <w:t>。</w:t>
      </w:r>
      <w:r>
        <w:rPr>
          <w:rFonts w:ascii="SimHei" w:hAnsi="SimHei" w:eastAsia="SimHei" w:cs="SimHei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以国、省、市级临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床重点学科(专科)建设为平台，在选派骨干</w:t>
      </w:r>
      <w:r>
        <w:rPr>
          <w:rFonts w:ascii="FangSong" w:hAnsi="FangSong" w:eastAsia="FangSong" w:cs="FangSong"/>
          <w:sz w:val="31"/>
          <w:szCs w:val="31"/>
          <w:spacing w:val="7"/>
        </w:rPr>
        <w:t>人才开展院际合作、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科学研究、学术交流、进修培训等方面优先给予支持，不断提升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人才专业技术能力，充分发挥临床重点学科(专科)建设在人才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队伍建设中的平台作用，做到人尽其才，才尽其用。</w:t>
      </w:r>
    </w:p>
    <w:p>
      <w:pPr>
        <w:ind w:firstLine="629"/>
        <w:spacing w:before="264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第十六条强化人才多岗位锻炼。</w:t>
      </w:r>
      <w:r>
        <w:rPr>
          <w:rFonts w:ascii="SimHei" w:hAnsi="SimHei" w:eastAsia="SimHei" w:cs="SimHei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根据人才职业发展目标和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个人意愿，支持进行多岗位锻炼。对符合条</w:t>
      </w:r>
      <w:r>
        <w:rPr>
          <w:rFonts w:ascii="FangSong" w:hAnsi="FangSong" w:eastAsia="FangSong" w:cs="FangSong"/>
          <w:sz w:val="31"/>
          <w:szCs w:val="31"/>
          <w:spacing w:val="2"/>
        </w:rPr>
        <w:t>件的，可优先选拔交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流到党政管理部门任职，选派到基层医疗机构担任“第一书记”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或推荐为市、区级人大代表、政协委员候选人选，着力</w:t>
      </w:r>
      <w:r>
        <w:rPr>
          <w:rFonts w:ascii="FangSong" w:hAnsi="FangSong" w:eastAsia="FangSong" w:cs="FangSong"/>
          <w:sz w:val="31"/>
          <w:szCs w:val="31"/>
          <w:spacing w:val="2"/>
        </w:rPr>
        <w:t>培养“医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疗+管理”复合型优秀人才。</w:t>
      </w:r>
    </w:p>
    <w:p>
      <w:pPr>
        <w:ind w:right="107" w:firstLine="629"/>
        <w:spacing w:before="207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第十七条优化人才任用机制。</w:t>
      </w:r>
      <w:r>
        <w:rPr>
          <w:rFonts w:ascii="FangSong" w:hAnsi="FangSong" w:eastAsia="FangSong" w:cs="FangSong"/>
          <w:sz w:val="31"/>
          <w:szCs w:val="31"/>
          <w:spacing w:val="9"/>
        </w:rPr>
        <w:t>注重在临床一线考察、识别、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评价、使用人才，着力构建“能上能下”的人才任用机制。建立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优秀人才库，对临床业务能力突出、综合表现优秀且具有一</w:t>
      </w:r>
      <w:r>
        <w:rPr>
          <w:rFonts w:ascii="FangSong" w:hAnsi="FangSong" w:eastAsia="FangSong" w:cs="FangSong"/>
          <w:sz w:val="31"/>
          <w:szCs w:val="31"/>
          <w:spacing w:val="2"/>
        </w:rPr>
        <w:t>定管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理经验的骨干人才予以重点关注和培养，条件成熟的优先提拔为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医院科室负责人或领导班子成员。畅通干部“下”的渠道，及时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调整存在不胜任岗位要求、工作作风不实、推进科室发展动力不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足等问题的科室负责人，做优做强领导干部队</w:t>
      </w:r>
      <w:r>
        <w:rPr>
          <w:rFonts w:ascii="FangSong" w:hAnsi="FangSong" w:eastAsia="FangSong" w:cs="FangSong"/>
          <w:sz w:val="31"/>
          <w:szCs w:val="31"/>
          <w:spacing w:val="6"/>
        </w:rPr>
        <w:t>伍建设。</w:t>
      </w:r>
    </w:p>
    <w:p>
      <w:pPr>
        <w:ind w:right="167" w:firstLine="629"/>
        <w:spacing w:before="256" w:line="30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第十八条建立高层次人才共享共用机制。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对引进的高层次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人才和</w:t>
      </w:r>
      <w:r>
        <w:rPr>
          <w:rFonts w:ascii="SimSun" w:hAnsi="SimSun" w:eastAsia="SimSun" w:cs="SimSun"/>
          <w:sz w:val="31"/>
          <w:szCs w:val="31"/>
          <w:spacing w:val="6"/>
        </w:rPr>
        <w:t>A、B、C、D、E </w:t>
      </w:r>
      <w:r>
        <w:rPr>
          <w:rFonts w:ascii="FangSong" w:hAnsi="FangSong" w:eastAsia="FangSong" w:cs="FangSong"/>
          <w:sz w:val="31"/>
          <w:szCs w:val="31"/>
          <w:spacing w:val="6"/>
        </w:rPr>
        <w:t>类人才，可在医疗集团内统筹管理</w:t>
      </w:r>
      <w:r>
        <w:rPr>
          <w:rFonts w:ascii="FangSong" w:hAnsi="FangSong" w:eastAsia="FangSong" w:cs="FangSong"/>
          <w:sz w:val="31"/>
          <w:szCs w:val="31"/>
          <w:spacing w:val="5"/>
        </w:rPr>
        <w:t>使用。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结合医疗集团内医院学科发展、临床需求以及人才队伍</w:t>
      </w:r>
      <w:r>
        <w:rPr>
          <w:rFonts w:ascii="FangSong" w:hAnsi="FangSong" w:eastAsia="FangSong" w:cs="FangSong"/>
          <w:sz w:val="31"/>
          <w:szCs w:val="31"/>
          <w:spacing w:val="3"/>
        </w:rPr>
        <w:t>建设等情</w:t>
      </w:r>
    </w:p>
    <w:p>
      <w:pPr>
        <w:spacing w:line="308" w:lineRule="auto"/>
        <w:sectPr>
          <w:footerReference w:type="default" r:id="rId9"/>
          <w:pgSz w:w="11900" w:h="16840"/>
          <w:pgMar w:top="1431" w:right="1287" w:bottom="1580" w:left="1579" w:header="0" w:footer="112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63" w:lineRule="auto"/>
        <w:rPr/>
      </w:pPr>
      <w:r/>
    </w:p>
    <w:p>
      <w:pPr>
        <w:ind w:left="409" w:right="359"/>
        <w:spacing w:before="101" w:line="36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况，通过交流聘任、定期坐诊、疑难病症会诊、学术</w:t>
      </w:r>
      <w:r>
        <w:rPr>
          <w:rFonts w:ascii="FangSong" w:hAnsi="FangSong" w:eastAsia="FangSong" w:cs="FangSong"/>
          <w:sz w:val="31"/>
          <w:szCs w:val="31"/>
          <w:spacing w:val="2"/>
        </w:rPr>
        <w:t>交流、带教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带培等形式实现在医疗、科研、教学等领域的共享共用。</w:t>
      </w:r>
    </w:p>
    <w:p>
      <w:pPr>
        <w:ind w:left="409" w:right="346" w:firstLine="639"/>
        <w:spacing w:line="3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第十九条深化薪酬制度改革。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深入推进市直公立医院工分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制绩效分配机制，薪酬分配重点向关键和急需紧缺岗位人才、高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层次人才、业务骨干人才等进行倾斜。设立体现人才劳动特点和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岗位价值的贡献绩效、质量绩效、服务绩效等薪酬项目，更好地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激励人才立足岗位建功立业。</w:t>
      </w:r>
    </w:p>
    <w:p>
      <w:pPr>
        <w:ind w:left="409" w:right="244" w:firstLine="639"/>
        <w:spacing w:before="266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第二十条营造良好氛围</w:t>
      </w:r>
      <w:r>
        <w:rPr>
          <w:rFonts w:ascii="FangSong" w:hAnsi="FangSong" w:eastAsia="FangSong" w:cs="FangSong"/>
          <w:sz w:val="31"/>
          <w:szCs w:val="31"/>
          <w:spacing w:val="6"/>
        </w:rPr>
        <w:t>。加大对优秀人才选树和宣传力度，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通过医院官网、公众号等媒介，开设人才宣传专栏，大力</w:t>
      </w:r>
      <w:r>
        <w:rPr>
          <w:rFonts w:ascii="FangSong" w:hAnsi="FangSong" w:eastAsia="FangSong" w:cs="FangSong"/>
          <w:sz w:val="31"/>
          <w:szCs w:val="31"/>
          <w:spacing w:val="2"/>
        </w:rPr>
        <w:t>宣传临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床一线优秀人才，积极展示人才成果，营造尊重知识、尊重人才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的良好氛围，进一步增强人才荣誉感和归属感。</w:t>
      </w:r>
    </w:p>
    <w:p>
      <w:pPr>
        <w:ind w:left="409" w:right="330" w:firstLine="639"/>
        <w:spacing w:before="238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第二十一条加强人才资金保障。</w:t>
      </w:r>
      <w:r>
        <w:rPr>
          <w:rFonts w:ascii="FangSong" w:hAnsi="FangSong" w:eastAsia="FangSong" w:cs="FangSong"/>
          <w:sz w:val="31"/>
          <w:szCs w:val="31"/>
          <w:spacing w:val="3"/>
        </w:rPr>
        <w:t>建立市直公立医院人才“引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育用留”资金池，由财政资金、市直公立医院人才发</w:t>
      </w:r>
      <w:r>
        <w:rPr>
          <w:rFonts w:ascii="FangSong" w:hAnsi="FangSong" w:eastAsia="FangSong" w:cs="FangSong"/>
          <w:sz w:val="31"/>
          <w:szCs w:val="31"/>
          <w:spacing w:val="2"/>
        </w:rPr>
        <w:t>展基金等共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同注入。本措施所需资金在资金池中统筹安排。</w:t>
      </w:r>
    </w:p>
    <w:p>
      <w:pPr>
        <w:ind w:left="1049"/>
        <w:spacing w:before="24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第二十二条本措施自公布之日起施行，有效期两年。</w:t>
      </w:r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tbl>
      <w:tblPr>
        <w:tblStyle w:val="TableNormal"/>
        <w:tblW w:w="952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815"/>
        <w:gridCol w:w="3714"/>
      </w:tblGrid>
      <w:tr>
        <w:trPr>
          <w:trHeight w:val="690" w:hRule="atLeast"/>
        </w:trPr>
        <w:tc>
          <w:tcPr>
            <w:tcW w:w="581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349"/>
              <w:spacing w:before="20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中共湘潭市委人才工作领导小组办公室</w:t>
            </w:r>
          </w:p>
        </w:tc>
        <w:tc>
          <w:tcPr>
            <w:tcW w:w="3714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645"/>
              <w:spacing w:before="20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2024年7月4日印发</w:t>
            </w:r>
          </w:p>
        </w:tc>
      </w:tr>
    </w:tbl>
    <w:p>
      <w:pPr>
        <w:pStyle w:val="BodyText"/>
        <w:rPr/>
      </w:pPr>
      <w:r/>
    </w:p>
    <w:sectPr>
      <w:footerReference w:type="default" r:id="rId10"/>
      <w:pgSz w:w="11900" w:h="16840"/>
      <w:pgMar w:top="1431" w:right="1239" w:bottom="1580" w:left="1130" w:header="0" w:footer="112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9"/>
      <w:spacing w:line="181" w:lineRule="auto"/>
      <w:tabs>
        <w:tab w:val="left" w:pos="619"/>
      </w:tabs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z w:val="31"/>
        <w:szCs w:val="31"/>
        <w:u w:val="single" w:color="auto"/>
      </w:rPr>
      <w:tab/>
    </w:r>
    <w:r>
      <w:rPr>
        <w:rFonts w:ascii="Times New Roman" w:hAnsi="Times New Roman" w:eastAsia="Times New Roman" w:cs="Times New Roman"/>
        <w:sz w:val="31"/>
        <w:szCs w:val="31"/>
        <w:spacing w:val="-7"/>
      </w:rPr>
      <w:t xml:space="preserve"> </w:t>
    </w:r>
    <w:r>
      <w:rPr>
        <w:rFonts w:ascii="Times New Roman" w:hAnsi="Times New Roman" w:eastAsia="Times New Roman" w:cs="Times New Roman"/>
        <w:sz w:val="31"/>
        <w:szCs w:val="31"/>
        <w:spacing w:val="-4"/>
      </w:rPr>
      <w:t>2-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89"/>
      <w:spacing w:line="181" w:lineRule="auto"/>
      <w:tabs>
        <w:tab w:val="left" w:pos="7810"/>
      </w:tabs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z w:val="31"/>
        <w:szCs w:val="31"/>
        <w:u w:val="single" w:color="auto"/>
      </w:rPr>
      <w:tab/>
    </w:r>
    <w:r>
      <w:rPr>
        <w:rFonts w:ascii="Times New Roman" w:hAnsi="Times New Roman" w:eastAsia="Times New Roman" w:cs="Times New Roman"/>
        <w:sz w:val="31"/>
        <w:szCs w:val="31"/>
        <w:spacing w:val="12"/>
      </w:rPr>
      <w:t xml:space="preserve"> </w:t>
    </w:r>
    <w:r>
      <w:rPr>
        <w:rFonts w:ascii="Times New Roman" w:hAnsi="Times New Roman" w:eastAsia="Times New Roman" w:cs="Times New Roman"/>
        <w:sz w:val="31"/>
        <w:szCs w:val="31"/>
        <w:spacing w:val="-7"/>
      </w:rPr>
      <w:t>3-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9"/>
      <w:spacing w:line="181" w:lineRule="auto"/>
      <w:tabs>
        <w:tab w:val="left" w:pos="649"/>
      </w:tabs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z w:val="31"/>
        <w:szCs w:val="31"/>
        <w:u w:val="single" w:color="auto"/>
      </w:rPr>
      <w:tab/>
    </w:r>
    <w:r>
      <w:rPr>
        <w:rFonts w:ascii="Times New Roman" w:hAnsi="Times New Roman" w:eastAsia="Times New Roman" w:cs="Times New Roman"/>
        <w:sz w:val="31"/>
        <w:szCs w:val="31"/>
        <w:spacing w:val="23"/>
      </w:rPr>
      <w:t xml:space="preserve"> </w:t>
    </w:r>
    <w:r>
      <w:rPr>
        <w:rFonts w:ascii="Times New Roman" w:hAnsi="Times New Roman" w:eastAsia="Times New Roman" w:cs="Times New Roman"/>
        <w:sz w:val="31"/>
        <w:szCs w:val="31"/>
        <w:spacing w:val="-3"/>
      </w:rPr>
      <w:t>4-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89"/>
      <w:spacing w:line="234" w:lineRule="auto"/>
      <w:rPr>
        <w:rFonts w:ascii="SimSun" w:hAnsi="SimSun" w:eastAsia="SimSun" w:cs="SimSun"/>
        <w:sz w:val="35"/>
        <w:szCs w:val="35"/>
      </w:rPr>
    </w:pPr>
    <w:r>
      <w:rPr>
        <w:rFonts w:ascii="SimSun" w:hAnsi="SimSun" w:eastAsia="SimSun" w:cs="SimSun"/>
        <w:sz w:val="35"/>
        <w:szCs w:val="35"/>
        <w:spacing w:val="-4"/>
      </w:rPr>
      <w:t>—5—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9"/>
      <w:spacing w:line="234" w:lineRule="auto"/>
      <w:rPr>
        <w:rFonts w:ascii="SimSun" w:hAnsi="SimSun" w:eastAsia="SimSun" w:cs="SimSun"/>
        <w:sz w:val="35"/>
        <w:szCs w:val="35"/>
      </w:rPr>
    </w:pPr>
    <w:r>
      <w:rPr>
        <w:rFonts w:ascii="SimSun" w:hAnsi="SimSun" w:eastAsia="SimSun" w:cs="SimSun"/>
        <w:sz w:val="35"/>
        <w:szCs w:val="35"/>
        <w:spacing w:val="-4"/>
      </w:rPr>
      <w:t>—6—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image" Target="media/image5.png"/><Relationship Id="rId5" Type="http://schemas.openxmlformats.org/officeDocument/2006/relationships/footer" Target="footer1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5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2025-03-20T11:34:55Z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2025-03-20T11:34:55</vt:filetime>
  </property>
  <property fmtid="{D5CDD505-2E9C-101B-9397-08002B2CF9AE}" pid="4" name="UsrData">
    <vt:lpwstr>67db8cdc1087f5001f80ea3awl</vt:lpwstr>
  </property>
</Properties>
</file>